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A59" w:rsidRPr="00DF7E1B" w:rsidRDefault="00DF7E1B" w:rsidP="00645948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proofErr w:type="spellStart"/>
      <w:r w:rsidRPr="00DF7E1B">
        <w:rPr>
          <w:rFonts w:ascii="Arial" w:hAnsi="Arial" w:cs="Arial"/>
          <w:b/>
          <w:bCs/>
          <w:sz w:val="32"/>
          <w:szCs w:val="32"/>
        </w:rPr>
        <w:t>Syllabus</w:t>
      </w:r>
      <w:proofErr w:type="spellEnd"/>
    </w:p>
    <w:bookmarkEnd w:id="0"/>
    <w:p w:rsidR="00920A59" w:rsidRPr="009A49AD" w:rsidRDefault="00920A59" w:rsidP="00645948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04"/>
      </w:tblGrid>
      <w:tr w:rsidR="00920A59" w:rsidRPr="009A49A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nazwisko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nauczyciela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AA4601" w:rsidP="00645948">
            <w:pPr>
              <w:snapToGrid w:val="0"/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9A49AD">
              <w:rPr>
                <w:rFonts w:ascii="Arial" w:hAnsi="Arial" w:cs="Arial"/>
                <w:sz w:val="18"/>
                <w:szCs w:val="18"/>
              </w:rPr>
              <w:t>Deana Desa</w:t>
            </w:r>
          </w:p>
        </w:tc>
      </w:tr>
      <w:tr w:rsidR="00920A59" w:rsidRPr="0080590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Tytuł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kursu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80590D" w:rsidRDefault="0080590D" w:rsidP="00645948">
            <w:pPr>
              <w:snapToGrid w:val="0"/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80590D">
              <w:rPr>
                <w:rFonts w:ascii="Arial" w:hAnsi="Arial" w:cs="Arial"/>
                <w:sz w:val="18"/>
                <w:szCs w:val="18"/>
              </w:rPr>
              <w:t>Analiza niezmienności modelu pomiarowego w badaniach międzykulturowych</w:t>
            </w:r>
          </w:p>
        </w:tc>
      </w:tr>
      <w:tr w:rsidR="00920A59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Rodzaj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kursu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Warsztat</w:t>
            </w:r>
            <w:proofErr w:type="spellEnd"/>
          </w:p>
        </w:tc>
      </w:tr>
      <w:tr w:rsidR="00920A59" w:rsidRPr="00F40FE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80590D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Liczba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godzin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godzin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20A59" w:rsidRPr="009A49AD">
              <w:rPr>
                <w:rFonts w:ascii="Arial" w:hAnsi="Arial" w:cs="Arial"/>
                <w:sz w:val="18"/>
                <w:szCs w:val="18"/>
                <w:lang w:val="en-US"/>
              </w:rPr>
              <w:t>x 45 min</w:t>
            </w:r>
          </w:p>
        </w:tc>
      </w:tr>
      <w:tr w:rsidR="00035C2F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80590D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Liczba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punktów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35C2F"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9A49AD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ECTS</w:t>
            </w:r>
          </w:p>
        </w:tc>
      </w:tr>
      <w:tr w:rsidR="00035C2F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80590D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Wykorzystywane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komputerowe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9A49AD" w:rsidRDefault="001A6FF9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SPSS, </w:t>
            </w:r>
            <w:proofErr w:type="spellStart"/>
            <w:r w:rsidR="00B9607F" w:rsidRPr="009A49AD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  <w:r w:rsidR="00CE6EDE">
              <w:rPr>
                <w:rFonts w:ascii="Arial" w:hAnsi="Arial" w:cs="Arial"/>
                <w:sz w:val="18"/>
                <w:szCs w:val="18"/>
              </w:rPr>
              <w:t>, R</w:t>
            </w:r>
          </w:p>
        </w:tc>
      </w:tr>
      <w:tr w:rsidR="00035C2F" w:rsidRPr="0080590D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Teaching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day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schedule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preferences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C0" w:rsidRPr="00DF7E1B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7E1B">
              <w:rPr>
                <w:rFonts w:ascii="Arial" w:hAnsi="Arial" w:cs="Arial"/>
                <w:i/>
                <w:iCs/>
                <w:sz w:val="18"/>
                <w:szCs w:val="18"/>
              </w:rPr>
              <w:t>Dzień 1</w:t>
            </w:r>
          </w:p>
          <w:p w:rsidR="00B04A2A" w:rsidRPr="0080590D" w:rsidRDefault="0052522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x 90 min – </w:t>
            </w:r>
            <w:r w:rsidR="0080590D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>bloki</w:t>
            </w:r>
            <w:r w:rsid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</w:t>
            </w:r>
            <w:r w:rsidR="002341CB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80590D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x 15 min przerwy oraz</w:t>
            </w:r>
            <w:r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 x 90 min </w:t>
            </w:r>
            <w:r w:rsid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przerwa na lunch</w:t>
            </w:r>
          </w:p>
          <w:p w:rsidR="006D6721" w:rsidRPr="00DF7E1B" w:rsidRDefault="0080590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7E1B">
              <w:rPr>
                <w:rFonts w:ascii="Arial" w:hAnsi="Arial" w:cs="Arial"/>
                <w:i/>
                <w:iCs/>
                <w:sz w:val="18"/>
                <w:szCs w:val="18"/>
              </w:rPr>
              <w:t>Dzień 2-4</w:t>
            </w:r>
          </w:p>
          <w:p w:rsidR="00035C2F" w:rsidRPr="0080590D" w:rsidRDefault="007431F6" w:rsidP="0080590D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90D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="006D6721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x 90 min – </w:t>
            </w:r>
            <w:r w:rsidR="0080590D">
              <w:rPr>
                <w:rFonts w:ascii="Arial" w:hAnsi="Arial" w:cs="Arial"/>
                <w:i/>
                <w:iCs/>
                <w:sz w:val="18"/>
                <w:szCs w:val="18"/>
              </w:rPr>
              <w:t>bloki z</w:t>
            </w:r>
            <w:r w:rsidR="006D6721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x 15 </w:t>
            </w:r>
            <w:r w:rsidR="0080590D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przerwy oraz </w:t>
            </w:r>
            <w:r w:rsidR="006D6721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x 90 min </w:t>
            </w:r>
            <w:r w:rsidR="0080590D" w:rsidRPr="0080590D">
              <w:rPr>
                <w:rFonts w:ascii="Arial" w:hAnsi="Arial" w:cs="Arial"/>
                <w:i/>
                <w:iCs/>
                <w:sz w:val="18"/>
                <w:szCs w:val="18"/>
              </w:rPr>
              <w:t>przerwa na lunch</w:t>
            </w:r>
          </w:p>
        </w:tc>
      </w:tr>
      <w:tr w:rsidR="00065BA4" w:rsidRPr="0080590D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9A49AD" w:rsidRDefault="0080590D" w:rsidP="0064594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Efekty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kształcenia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wiedza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0D" w:rsidRPr="0080590D" w:rsidRDefault="0080590D" w:rsidP="0080590D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80590D">
              <w:rPr>
                <w:rFonts w:ascii="Arial" w:hAnsi="Arial" w:cs="Arial"/>
                <w:sz w:val="18"/>
                <w:szCs w:val="18"/>
              </w:rPr>
              <w:t>W wyni</w:t>
            </w:r>
            <w:r w:rsidR="001D47FE">
              <w:rPr>
                <w:rFonts w:ascii="Arial" w:hAnsi="Arial" w:cs="Arial"/>
                <w:sz w:val="18"/>
                <w:szCs w:val="18"/>
              </w:rPr>
              <w:t>ku tego warsztatu st</w:t>
            </w:r>
            <w:r w:rsidRPr="0080590D">
              <w:rPr>
                <w:rFonts w:ascii="Arial" w:hAnsi="Arial" w:cs="Arial"/>
                <w:sz w:val="18"/>
                <w:szCs w:val="18"/>
              </w:rPr>
              <w:t>udenci posiądą wiedz</w:t>
            </w:r>
            <w:r w:rsidR="008D5BBA">
              <w:rPr>
                <w:rFonts w:ascii="Arial" w:hAnsi="Arial" w:cs="Arial"/>
                <w:sz w:val="18"/>
                <w:szCs w:val="18"/>
              </w:rPr>
              <w:t>ę dotyczącą</w:t>
            </w:r>
            <w:r w:rsidRPr="0080590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590D" w:rsidRPr="0080590D" w:rsidRDefault="0080590D" w:rsidP="0080590D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80590D">
              <w:rPr>
                <w:rFonts w:ascii="Arial" w:hAnsi="Arial" w:cs="Arial"/>
                <w:sz w:val="18"/>
                <w:szCs w:val="18"/>
              </w:rPr>
              <w:t>Podstaw analizy niezmienności modelu pomiarowego w badaniach międzykulturowych</w:t>
            </w:r>
          </w:p>
          <w:p w:rsidR="00AA4601" w:rsidRDefault="008D5BBA" w:rsidP="0080590D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80590D">
              <w:rPr>
                <w:rFonts w:ascii="Arial" w:hAnsi="Arial" w:cs="Arial"/>
                <w:sz w:val="18"/>
                <w:szCs w:val="18"/>
              </w:rPr>
              <w:t>onfirmacyjnej analizy czynnikowej w podgrupach wykonywanej dla zmiennych ciągłych i porządkowych oraz umiejscowienia tego znaczenia na tle innych technik Modelowania Równań Strukturalnych</w:t>
            </w:r>
          </w:p>
          <w:p w:rsidR="00065BA4" w:rsidRPr="0080590D" w:rsidRDefault="0080590D" w:rsidP="0080590D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Testowania istotności różnic metodą </w:t>
            </w:r>
            <w:proofErr w:type="spellStart"/>
            <w:r w:rsidR="00AA4601" w:rsidRPr="0080590D">
              <w:rPr>
                <w:rFonts w:ascii="Arial" w:hAnsi="Arial" w:cs="Arial"/>
                <w:sz w:val="18"/>
                <w:szCs w:val="18"/>
              </w:rPr>
              <w:t>Satorra-Bentler</w:t>
            </w:r>
            <w:proofErr w:type="spellEnd"/>
            <w:r w:rsidR="00AA4601" w:rsidRPr="0080590D">
              <w:rPr>
                <w:rFonts w:ascii="Arial" w:hAnsi="Arial" w:cs="Arial"/>
                <w:sz w:val="18"/>
                <w:szCs w:val="18"/>
              </w:rPr>
              <w:t xml:space="preserve"> (SB)</w:t>
            </w:r>
            <w:r w:rsidRPr="0080590D">
              <w:rPr>
                <w:rFonts w:ascii="Arial" w:hAnsi="Arial" w:cs="Arial"/>
                <w:sz w:val="18"/>
                <w:szCs w:val="18"/>
              </w:rPr>
              <w:t xml:space="preserve"> I za pomocą</w:t>
            </w:r>
            <w:r>
              <w:rPr>
                <w:rFonts w:ascii="Arial" w:hAnsi="Arial" w:cs="Arial"/>
                <w:sz w:val="18"/>
                <w:szCs w:val="18"/>
              </w:rPr>
              <w:t xml:space="preserve"> metody DIFFTEST</w:t>
            </w:r>
          </w:p>
        </w:tc>
      </w:tr>
      <w:tr w:rsidR="00065BA4" w:rsidRPr="00F40FE7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9A49AD" w:rsidRDefault="0080590D" w:rsidP="0064594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Efekty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kształcenia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umiejętności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E55" w:rsidRPr="008D5BBA" w:rsidRDefault="008D5BBA" w:rsidP="00645948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8D5BBA">
              <w:rPr>
                <w:rFonts w:ascii="Arial" w:hAnsi="Arial" w:cs="Arial"/>
                <w:sz w:val="18"/>
                <w:szCs w:val="18"/>
              </w:rPr>
              <w:t>Po zak</w:t>
            </w:r>
            <w:r>
              <w:rPr>
                <w:rFonts w:ascii="Arial" w:hAnsi="Arial" w:cs="Arial"/>
                <w:sz w:val="18"/>
                <w:szCs w:val="18"/>
              </w:rPr>
              <w:t>ończeniu warsztatu studenci będą</w:t>
            </w:r>
            <w:r w:rsidRPr="008D5BBA">
              <w:rPr>
                <w:rFonts w:ascii="Arial" w:hAnsi="Arial" w:cs="Arial"/>
                <w:sz w:val="18"/>
                <w:szCs w:val="18"/>
              </w:rPr>
              <w:t xml:space="preserve"> mieli umiejętności</w:t>
            </w:r>
            <w:r w:rsidR="00971E55" w:rsidRPr="008D5BB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D5BBA" w:rsidRPr="008D5BBA" w:rsidRDefault="008D5BBA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5BBA">
              <w:rPr>
                <w:rFonts w:ascii="Arial" w:hAnsi="Arial" w:cs="Arial"/>
                <w:sz w:val="18"/>
                <w:szCs w:val="18"/>
              </w:rPr>
              <w:t xml:space="preserve">Testowania niezmienności modelu pomiarowego w programie </w:t>
            </w:r>
            <w:proofErr w:type="spellStart"/>
            <w:r w:rsidRPr="008D5BBA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  <w:r w:rsidRPr="008D5BBA">
              <w:rPr>
                <w:rFonts w:ascii="Arial" w:hAnsi="Arial" w:cs="Arial"/>
                <w:sz w:val="18"/>
                <w:szCs w:val="18"/>
              </w:rPr>
              <w:t xml:space="preserve"> (i </w:t>
            </w:r>
            <w:proofErr w:type="spellStart"/>
            <w:r w:rsidRPr="008D5BBA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  <w:r w:rsidRPr="008D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5BBA">
              <w:rPr>
                <w:rFonts w:ascii="Arial" w:hAnsi="Arial" w:cs="Arial"/>
                <w:sz w:val="18"/>
                <w:szCs w:val="18"/>
              </w:rPr>
              <w:t>Automaton</w:t>
            </w:r>
            <w:proofErr w:type="spellEnd"/>
            <w:r w:rsidRPr="008D5BBA">
              <w:rPr>
                <w:rFonts w:ascii="Arial" w:hAnsi="Arial" w:cs="Arial"/>
                <w:sz w:val="18"/>
                <w:szCs w:val="18"/>
              </w:rPr>
              <w:t xml:space="preserve">) na dużych bazach danych zastanych. </w:t>
            </w:r>
          </w:p>
          <w:p w:rsidR="008D5BBA" w:rsidRPr="008D5BBA" w:rsidRDefault="008D5BBA" w:rsidP="008D5BBA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5BBA">
              <w:rPr>
                <w:rFonts w:ascii="Arial" w:hAnsi="Arial" w:cs="Arial"/>
                <w:sz w:val="18"/>
                <w:szCs w:val="18"/>
              </w:rPr>
              <w:t>Intepretacji</w:t>
            </w:r>
            <w:proofErr w:type="spellEnd"/>
            <w:r w:rsidRPr="008D5BBA">
              <w:rPr>
                <w:rFonts w:ascii="Arial" w:hAnsi="Arial" w:cs="Arial"/>
                <w:sz w:val="18"/>
                <w:szCs w:val="18"/>
              </w:rPr>
              <w:t xml:space="preserve"> wyników analiz wykonanych w programie </w:t>
            </w:r>
            <w:proofErr w:type="spellStart"/>
            <w:r w:rsidRPr="008D5BBA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</w:p>
          <w:p w:rsidR="00065BA4" w:rsidRPr="00DF7E1B" w:rsidRDefault="008D5BBA" w:rsidP="008D5BBA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Opisywania wyników uzyskanych w wyniku analiz lub raportów z badań międzykulturowych posługujących się techniką analizy niezmienności modelu pomiarowego. </w:t>
            </w:r>
          </w:p>
        </w:tc>
      </w:tr>
      <w:tr w:rsidR="00065BA4" w:rsidRPr="00F40FE7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8D5BBA" w:rsidRDefault="0080590D" w:rsidP="0064594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5BBA">
              <w:rPr>
                <w:rFonts w:ascii="Arial" w:hAnsi="Arial" w:cs="Arial"/>
                <w:b/>
                <w:sz w:val="18"/>
                <w:szCs w:val="18"/>
              </w:rPr>
              <w:t xml:space="preserve">Efekty kształcenia </w:t>
            </w:r>
            <w:r w:rsidR="008D5BBA" w:rsidRPr="008D5BBA">
              <w:rPr>
                <w:rFonts w:ascii="Arial" w:hAnsi="Arial" w:cs="Arial"/>
                <w:b/>
                <w:sz w:val="18"/>
                <w:szCs w:val="18"/>
              </w:rPr>
              <w:t xml:space="preserve"> - postawy I kompetencje społeczne</w:t>
            </w:r>
            <w:r w:rsidRPr="008D5B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DE" w:rsidRPr="008D5BBA" w:rsidRDefault="008D5BBA" w:rsidP="00645948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5BBA">
              <w:rPr>
                <w:rFonts w:ascii="Arial" w:hAnsi="Arial" w:cs="Arial"/>
                <w:sz w:val="18"/>
                <w:szCs w:val="18"/>
              </w:rPr>
              <w:t>Zrozumienie różnic kulturowych w pomiarze psychologicznym I ocenie kompetencji</w:t>
            </w:r>
          </w:p>
          <w:p w:rsidR="00AA4601" w:rsidRPr="008D5BBA" w:rsidRDefault="008D5BBA" w:rsidP="00645948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5BBA">
              <w:rPr>
                <w:rFonts w:ascii="Arial" w:hAnsi="Arial" w:cs="Arial"/>
                <w:sz w:val="18"/>
                <w:szCs w:val="18"/>
              </w:rPr>
              <w:t>Postawa wrażliwości na różnice kulturowe</w:t>
            </w:r>
          </w:p>
          <w:p w:rsidR="00065BA4" w:rsidRPr="00DF7E1B" w:rsidRDefault="008D5BBA" w:rsidP="008D5BBA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5BBA">
              <w:rPr>
                <w:rFonts w:ascii="Arial" w:hAnsi="Arial" w:cs="Arial"/>
                <w:sz w:val="18"/>
                <w:szCs w:val="18"/>
              </w:rPr>
              <w:lastRenderedPageBreak/>
              <w:t xml:space="preserve">Umiejętność wykorzystania postawy wrażliwości kulturowej dla stawiania nowych pytań badawczych. </w:t>
            </w:r>
          </w:p>
        </w:tc>
      </w:tr>
      <w:tr w:rsidR="00035C2F" w:rsidRPr="008D5BBA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B75F3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Cele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kursu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546" w:rsidRPr="008D5BBA" w:rsidRDefault="008D5BBA" w:rsidP="008D5BBA">
            <w:pPr>
              <w:suppressAutoHyphens w:val="0"/>
              <w:spacing w:after="0"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5BBA">
              <w:rPr>
                <w:rFonts w:ascii="Arial" w:hAnsi="Arial" w:cs="Arial"/>
                <w:sz w:val="18"/>
                <w:szCs w:val="18"/>
              </w:rPr>
              <w:t xml:space="preserve">Warsztat będzie obejmował podstawy analizy niezmienności modelu pomiarowego w badaniach </w:t>
            </w:r>
            <w:r w:rsidR="00EB495E" w:rsidRPr="008D5BBA">
              <w:rPr>
                <w:rFonts w:ascii="Arial" w:hAnsi="Arial" w:cs="Arial"/>
                <w:sz w:val="18"/>
                <w:szCs w:val="18"/>
              </w:rPr>
              <w:t>międzykulturowych</w:t>
            </w:r>
            <w:r w:rsidRPr="008D5BBA">
              <w:rPr>
                <w:rFonts w:ascii="Arial" w:hAnsi="Arial" w:cs="Arial"/>
                <w:sz w:val="18"/>
                <w:szCs w:val="18"/>
              </w:rPr>
              <w:t xml:space="preserve">. Dodatkowo, zaprezentowane zostaną procedury statystycznej analizy w podejściu </w:t>
            </w:r>
            <w:r w:rsidR="00EB495E" w:rsidRPr="008D5BBA">
              <w:rPr>
                <w:rFonts w:ascii="Arial" w:hAnsi="Arial" w:cs="Arial"/>
                <w:sz w:val="18"/>
                <w:szCs w:val="18"/>
              </w:rPr>
              <w:t>uwzględniających</w:t>
            </w:r>
            <w:r w:rsidRPr="008D5BBA">
              <w:rPr>
                <w:rFonts w:ascii="Arial" w:hAnsi="Arial" w:cs="Arial"/>
                <w:sz w:val="18"/>
                <w:szCs w:val="18"/>
              </w:rPr>
              <w:t xml:space="preserve"> zmienne ukryte dla więcej niż dwóch grup. Zaprezentowane zostaną także podejścia konfirmacyjnej analizy czynnikowej dla grup uwzględniające w analizie zarówno zmienne ciągłe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D5B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 i</w:t>
            </w:r>
            <w:r w:rsidRPr="008D5BBA">
              <w:rPr>
                <w:rFonts w:ascii="Arial" w:hAnsi="Arial" w:cs="Arial"/>
                <w:sz w:val="18"/>
                <w:szCs w:val="18"/>
              </w:rPr>
              <w:t xml:space="preserve"> porządkowe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D5B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C2F" w:rsidRPr="005300F8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B75F3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Wymagania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wstępne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E7" w:rsidRPr="005300F8" w:rsidRDefault="00EB495E" w:rsidP="00EB495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495E">
              <w:rPr>
                <w:rFonts w:ascii="Arial" w:hAnsi="Arial" w:cs="Arial"/>
                <w:sz w:val="18"/>
                <w:szCs w:val="18"/>
              </w:rPr>
              <w:t>Znajomość podstawowych statystyk oraz analiz uwzględniających zmie</w:t>
            </w:r>
            <w:r w:rsidR="00AA4601" w:rsidRPr="00EB495E">
              <w:rPr>
                <w:rFonts w:ascii="Arial" w:hAnsi="Arial" w:cs="Arial"/>
                <w:sz w:val="18"/>
                <w:szCs w:val="18"/>
              </w:rPr>
              <w:t>n</w:t>
            </w:r>
            <w:r w:rsidRPr="00EB495E">
              <w:rPr>
                <w:rFonts w:ascii="Arial" w:hAnsi="Arial" w:cs="Arial"/>
                <w:sz w:val="18"/>
                <w:szCs w:val="18"/>
              </w:rPr>
              <w:t xml:space="preserve">ne </w:t>
            </w:r>
            <w:proofErr w:type="spellStart"/>
            <w:r w:rsidRPr="00EB495E">
              <w:rPr>
                <w:rFonts w:ascii="Arial" w:hAnsi="Arial" w:cs="Arial"/>
                <w:sz w:val="18"/>
                <w:szCs w:val="18"/>
              </w:rPr>
              <w:t>latentne</w:t>
            </w:r>
            <w:proofErr w:type="spellEnd"/>
            <w:r w:rsidRPr="00EB495E">
              <w:rPr>
                <w:rFonts w:ascii="Arial" w:hAnsi="Arial" w:cs="Arial"/>
                <w:sz w:val="18"/>
                <w:szCs w:val="18"/>
              </w:rPr>
              <w:t xml:space="preserve">. Warsztat jest przeznaczony dla osób mających </w:t>
            </w:r>
            <w:r w:rsidR="000B75F3" w:rsidRPr="00EB495E">
              <w:rPr>
                <w:rFonts w:ascii="Arial" w:hAnsi="Arial" w:cs="Arial"/>
                <w:sz w:val="18"/>
                <w:szCs w:val="18"/>
              </w:rPr>
              <w:t>znajomość</w:t>
            </w:r>
            <w:r w:rsidRPr="00EB495E">
              <w:rPr>
                <w:rFonts w:ascii="Arial" w:hAnsi="Arial" w:cs="Arial"/>
                <w:sz w:val="18"/>
                <w:szCs w:val="18"/>
              </w:rPr>
              <w:t xml:space="preserve"> podstawowych </w:t>
            </w:r>
            <w:r w:rsidR="000B75F3" w:rsidRPr="00EB495E">
              <w:rPr>
                <w:rFonts w:ascii="Arial" w:hAnsi="Arial" w:cs="Arial"/>
                <w:sz w:val="18"/>
                <w:szCs w:val="18"/>
              </w:rPr>
              <w:t>statystyk</w:t>
            </w:r>
            <w:r w:rsidRPr="00EB495E">
              <w:rPr>
                <w:rFonts w:ascii="Arial" w:hAnsi="Arial" w:cs="Arial"/>
                <w:sz w:val="18"/>
                <w:szCs w:val="18"/>
              </w:rPr>
              <w:t xml:space="preserve"> oraz analiz zmiennych ukrytych (modelowanie strukturalne, analiza cz</w:t>
            </w:r>
            <w:r>
              <w:rPr>
                <w:rFonts w:ascii="Arial" w:hAnsi="Arial" w:cs="Arial"/>
                <w:sz w:val="18"/>
                <w:szCs w:val="18"/>
              </w:rPr>
              <w:t xml:space="preserve">ynnikowa). </w:t>
            </w:r>
            <w:proofErr w:type="spellStart"/>
            <w:r w:rsidRPr="00EB495E">
              <w:rPr>
                <w:rFonts w:ascii="Arial" w:hAnsi="Arial" w:cs="Arial"/>
                <w:sz w:val="18"/>
                <w:szCs w:val="18"/>
                <w:lang w:val="en-US"/>
              </w:rPr>
              <w:t>Znajomośc</w:t>
            </w:r>
            <w:proofErr w:type="spellEnd"/>
            <w:r w:rsidRPr="00EB49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95E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plus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będzie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zaletą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wymagana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035C2F" w:rsidRPr="00082848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B75F3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Warunki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zaliczenia</w:t>
            </w:r>
            <w:proofErr w:type="spellEnd"/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3" w:rsidRPr="000B75F3" w:rsidRDefault="000B75F3" w:rsidP="000B75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75F3">
              <w:rPr>
                <w:rFonts w:ascii="Arial" w:hAnsi="Arial" w:cs="Arial"/>
                <w:sz w:val="18"/>
                <w:szCs w:val="18"/>
              </w:rPr>
              <w:t>Aktywny udział w warsztacie</w:t>
            </w:r>
          </w:p>
          <w:p w:rsidR="00AA4601" w:rsidRDefault="000B75F3" w:rsidP="000B75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75F3">
              <w:rPr>
                <w:rFonts w:ascii="Arial" w:hAnsi="Arial" w:cs="Arial"/>
                <w:sz w:val="18"/>
                <w:szCs w:val="18"/>
              </w:rPr>
              <w:t>Wykonywanie ćwiczeń obliczeniowych</w:t>
            </w:r>
          </w:p>
          <w:p w:rsidR="00F26546" w:rsidRPr="00082848" w:rsidRDefault="000B75F3" w:rsidP="00B701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Ustna prezentacja wyników analiz i ćwiczeń</w:t>
            </w:r>
            <w:r w:rsidR="00AA4601"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C2F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B75F3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Literatura</w:t>
            </w:r>
            <w:proofErr w:type="spellEnd"/>
            <w:r w:rsidR="00035C2F"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1" w:rsidRPr="00DF7E1B" w:rsidRDefault="000B75F3" w:rsidP="0064594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7E1B">
              <w:rPr>
                <w:rFonts w:ascii="Arial" w:hAnsi="Arial" w:cs="Arial"/>
                <w:b/>
                <w:i/>
                <w:sz w:val="18"/>
                <w:szCs w:val="18"/>
              </w:rPr>
              <w:t>Literatura obowiązkowa:</w:t>
            </w:r>
          </w:p>
          <w:p w:rsidR="00645948" w:rsidRPr="005300F8" w:rsidRDefault="00AA4601" w:rsidP="00645948">
            <w:pPr>
              <w:spacing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F7E1B">
              <w:rPr>
                <w:rFonts w:ascii="Arial" w:hAnsi="Arial" w:cs="Arial"/>
                <w:sz w:val="18"/>
                <w:szCs w:val="18"/>
              </w:rPr>
              <w:t>Byrne</w:t>
            </w:r>
            <w:proofErr w:type="spellEnd"/>
            <w:r w:rsidRPr="00DF7E1B">
              <w:rPr>
                <w:rFonts w:ascii="Arial" w:hAnsi="Arial" w:cs="Arial"/>
                <w:sz w:val="18"/>
                <w:szCs w:val="18"/>
              </w:rPr>
              <w:t xml:space="preserve">, B. M., &amp; Watkins, D. (2003).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The Issue Of Measurement Invariance Revisited. </w:t>
            </w:r>
            <w:r w:rsidRPr="005300F8">
              <w:rPr>
                <w:rFonts w:ascii="Arial" w:hAnsi="Arial" w:cs="Arial"/>
                <w:i/>
                <w:sz w:val="18"/>
                <w:szCs w:val="18"/>
                <w:lang w:val="en-US"/>
              </w:rPr>
              <w:t>Journal of Cross-Cultural Psychology, 34(2),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155–175. </w:t>
            </w:r>
          </w:p>
          <w:p w:rsidR="00AA4601" w:rsidRPr="005300F8" w:rsidRDefault="00AA4601" w:rsidP="00645948">
            <w:pPr>
              <w:spacing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Chen, F. F. (2007). Sensitivity of goodness of fit indexes to lack of measurement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invariance.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14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(3), 464–504.</w:t>
            </w:r>
          </w:p>
          <w:p w:rsidR="00645948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Little, T. D.,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Slegers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D. W. (2005). Factor analysis: Multiple groups.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Encyclopedia of</w:t>
            </w:r>
            <w:r w:rsidR="00645948"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Statistics in Behavioral S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cience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Lubke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G.,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B. (2004a). Applying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multigroup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confirmatory factor models for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continuous outcomes to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likert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scale data complicates meaningful group comparisons.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Modeling.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11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, 514–534.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Meredith, W. (1993). Measurement invariance, factor analysis and factorial invariance.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Psychometrika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58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(4), 525–543. Retrieved 2013-06-10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Millsap, R. E. (1995). Measurement invariance, predictive invariance, and the duality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paradox.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Multivariate Behavioral Research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30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(4), 577–605.</w:t>
            </w:r>
          </w:p>
          <w:p w:rsidR="003754F0" w:rsidRPr="005300F8" w:rsidRDefault="003754F0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Millsap, R. E.,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Olivera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-Aguilar, M. (2012). Investigating measurement invariance using confirmatory factor analysis. In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Handbook of structural equation modeling.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New York: Guilford.</w:t>
            </w:r>
          </w:p>
          <w:p w:rsidR="00AA4601" w:rsidRPr="005300F8" w:rsidRDefault="000B75F3" w:rsidP="00645948">
            <w:pPr>
              <w:spacing w:line="360" w:lineRule="auto"/>
              <w:ind w:left="709" w:hanging="709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Literatura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dodatkowa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: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2CD1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Cheung, G. W., &amp; </w:t>
            </w:r>
            <w:proofErr w:type="spellStart"/>
            <w:r w:rsidRPr="00D72CD1">
              <w:rPr>
                <w:rFonts w:ascii="Arial" w:hAnsi="Arial" w:cs="Arial"/>
                <w:sz w:val="18"/>
                <w:szCs w:val="18"/>
                <w:lang w:val="de-DE"/>
              </w:rPr>
              <w:t>Rensvold</w:t>
            </w:r>
            <w:proofErr w:type="spellEnd"/>
            <w:r w:rsidRPr="00D72CD1">
              <w:rPr>
                <w:rFonts w:ascii="Arial" w:hAnsi="Arial" w:cs="Arial"/>
                <w:sz w:val="18"/>
                <w:szCs w:val="18"/>
                <w:lang w:val="de-DE"/>
              </w:rPr>
              <w:t xml:space="preserve">, R. B. (2002).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Evaluating goodness-of-fit indexes for testing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measurement invariance. </w:t>
            </w:r>
            <w:r w:rsid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odeling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9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(2), 233–255.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Davidov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, E. (2008). A cross-country and cross-time comparison of the human values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measurement</w:t>
            </w:r>
            <w:r w:rsidR="005300F8">
              <w:rPr>
                <w:rFonts w:ascii="Arial" w:hAnsi="Arial" w:cs="Arial"/>
                <w:sz w:val="18"/>
                <w:szCs w:val="18"/>
                <w:lang w:val="en-US"/>
              </w:rPr>
              <w:t>s with the second round of the European Social S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urvey. In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Survey</w:t>
            </w:r>
            <w:r w:rsidR="00645948"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Research M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ethods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(Vol. 2, pp. 33–46).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Lubke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G.,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B. (2004b). Factor-analyzing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likert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scale data under the assumption of multivariate normality complicates a meaningful comparison of observed groups or latent classes.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11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, 514–534.</w:t>
            </w:r>
          </w:p>
          <w:p w:rsidR="00AA4601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L. K.,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B. O. (2012). </w:t>
            </w:r>
            <w:proofErr w:type="spellStart"/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Mplus</w:t>
            </w:r>
            <w:proofErr w:type="spellEnd"/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user’s guide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(7th ed.). Los Angeles, CA:</w:t>
            </w:r>
            <w:r w:rsidR="00645948"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45948" w:rsidRPr="005300F8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B., &amp;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Asparouhov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T. (2002). Latent variable analysis with categorical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outcomes:Multiple-group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 and growth modeling in </w:t>
            </w:r>
            <w:proofErr w:type="spellStart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Mplus</w:t>
            </w:r>
            <w:proofErr w:type="spellEnd"/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web notes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300F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4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>(5), 1–22.</w:t>
            </w:r>
          </w:p>
          <w:p w:rsidR="00035C2F" w:rsidRPr="009A49AD" w:rsidRDefault="00AA4601" w:rsidP="00D72CD1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CE6EDE">
              <w:rPr>
                <w:rFonts w:ascii="Arial" w:hAnsi="Arial" w:cs="Arial"/>
                <w:sz w:val="18"/>
                <w:szCs w:val="18"/>
                <w:lang w:val="en-US"/>
              </w:rPr>
              <w:t>Millsap, R. E., &amp; Yun-</w:t>
            </w:r>
            <w:proofErr w:type="spellStart"/>
            <w:r w:rsidRPr="00CE6EDE">
              <w:rPr>
                <w:rFonts w:ascii="Arial" w:hAnsi="Arial" w:cs="Arial"/>
                <w:sz w:val="18"/>
                <w:szCs w:val="18"/>
                <w:lang w:val="en-US"/>
              </w:rPr>
              <w:t>Tein</w:t>
            </w:r>
            <w:proofErr w:type="spellEnd"/>
            <w:r w:rsidRPr="00CE6EDE">
              <w:rPr>
                <w:rFonts w:ascii="Arial" w:hAnsi="Arial" w:cs="Arial"/>
                <w:sz w:val="18"/>
                <w:szCs w:val="18"/>
                <w:lang w:val="en-US"/>
              </w:rPr>
              <w:t xml:space="preserve">, J. (2004). </w:t>
            </w:r>
            <w:r w:rsidRPr="005300F8">
              <w:rPr>
                <w:rFonts w:ascii="Arial" w:hAnsi="Arial" w:cs="Arial"/>
                <w:sz w:val="18"/>
                <w:szCs w:val="18"/>
                <w:lang w:val="en-US"/>
              </w:rPr>
              <w:t xml:space="preserve">Assessing factorial invariance in ordered-categorical measures. </w:t>
            </w:r>
            <w:proofErr w:type="spellStart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>Multivariate</w:t>
            </w:r>
            <w:proofErr w:type="spellEnd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>Behavioral</w:t>
            </w:r>
            <w:proofErr w:type="spellEnd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>Research</w:t>
            </w:r>
            <w:proofErr w:type="spellEnd"/>
            <w:r w:rsidRPr="009A4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39 </w:t>
            </w:r>
            <w:r w:rsidRPr="009A49AD">
              <w:rPr>
                <w:rFonts w:ascii="Arial" w:hAnsi="Arial" w:cs="Arial"/>
                <w:sz w:val="18"/>
                <w:szCs w:val="18"/>
              </w:rPr>
              <w:t>(3), 479–515.</w:t>
            </w:r>
          </w:p>
        </w:tc>
      </w:tr>
      <w:tr w:rsidR="00AA4601" w:rsidRPr="009A49AD" w:rsidTr="00714F7E">
        <w:tc>
          <w:tcPr>
            <w:tcW w:w="2366" w:type="dxa"/>
            <w:tcBorders>
              <w:left w:val="single" w:sz="4" w:space="0" w:color="000000"/>
            </w:tcBorders>
            <w:vAlign w:val="center"/>
          </w:tcPr>
          <w:p w:rsidR="00AA4601" w:rsidRPr="009A49AD" w:rsidRDefault="00AA460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Course plan:</w:t>
            </w:r>
          </w:p>
        </w:tc>
        <w:tc>
          <w:tcPr>
            <w:tcW w:w="6904" w:type="dxa"/>
            <w:tcBorders>
              <w:left w:val="single" w:sz="4" w:space="0" w:color="000000"/>
              <w:right w:val="single" w:sz="4" w:space="0" w:color="000000"/>
            </w:tcBorders>
          </w:tcPr>
          <w:p w:rsidR="00AA4601" w:rsidRPr="00082848" w:rsidRDefault="00082848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b/>
                <w:sz w:val="18"/>
                <w:szCs w:val="18"/>
              </w:rPr>
              <w:t>Ćwiczenie</w:t>
            </w:r>
            <w:r w:rsidR="00AA4601" w:rsidRPr="00082848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AA4601"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4601" w:rsidRPr="00082848" w:rsidRDefault="00082848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>Cel</w:t>
            </w:r>
            <w:r w:rsidR="00AA4601" w:rsidRPr="0008284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Zastosowanie Konfirmacyjnej analizy czynnikowej dla wielu grup </w:t>
            </w:r>
            <w:r>
              <w:rPr>
                <w:rFonts w:ascii="Arial" w:hAnsi="Arial" w:cs="Arial"/>
                <w:sz w:val="18"/>
                <w:szCs w:val="18"/>
              </w:rPr>
              <w:t xml:space="preserve">dla zmiennych ilościowych 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proofErr w:type="spellStart"/>
            <w:r w:rsidRPr="00082848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  <w:r w:rsidR="00CE6EDE"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4601" w:rsidRPr="00082848" w:rsidRDefault="00082848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>wynik</w:t>
            </w:r>
            <w:r w:rsidR="00AA4601" w:rsidRPr="0008284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czasie ćwiczenia uczestnicy będą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mogli zastosować zdo</w:t>
            </w:r>
            <w:r>
              <w:rPr>
                <w:rFonts w:ascii="Arial" w:hAnsi="Arial" w:cs="Arial"/>
                <w:sz w:val="18"/>
                <w:szCs w:val="18"/>
              </w:rPr>
              <w:t>bytą w czasie warsztatu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wiedzę dotycząc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konfirmacyjnej analizy czynnikowej dla wielu grup w testowaniu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niezmienności modelu pomiaroweg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o w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82848">
              <w:rPr>
                <w:rFonts w:ascii="Arial" w:hAnsi="Arial" w:cs="Arial"/>
                <w:sz w:val="18"/>
                <w:szCs w:val="18"/>
              </w:rPr>
              <w:t>adaniach edukacyjnych na dużych zbiorach danych zastanych</w:t>
            </w:r>
          </w:p>
          <w:p w:rsidR="00AA4601" w:rsidRPr="00082848" w:rsidRDefault="00082848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>Forma pracy: praca grupowa</w:t>
            </w:r>
          </w:p>
          <w:p w:rsidR="00AA4601" w:rsidRPr="00082848" w:rsidRDefault="00082848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b/>
                <w:sz w:val="18"/>
                <w:szCs w:val="18"/>
              </w:rPr>
              <w:t>Ćwiczenie</w:t>
            </w:r>
            <w:r w:rsidR="00AA4601" w:rsidRPr="00082848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AA4601"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2848" w:rsidRPr="00082848" w:rsidRDefault="00082848" w:rsidP="000828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 xml:space="preserve">Cel:  Zastosowanie Konfirmacyjnej analizy czynnikowej dla wielu grup </w:t>
            </w:r>
            <w:r>
              <w:rPr>
                <w:rFonts w:ascii="Arial" w:hAnsi="Arial" w:cs="Arial"/>
                <w:sz w:val="18"/>
                <w:szCs w:val="18"/>
              </w:rPr>
              <w:t xml:space="preserve">dla zmiennych porządkowych 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proofErr w:type="spellStart"/>
            <w:r w:rsidRPr="00082848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  <w:r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2848" w:rsidRPr="00082848" w:rsidRDefault="00082848" w:rsidP="000828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 xml:space="preserve">wynik: W </w:t>
            </w:r>
            <w:r>
              <w:rPr>
                <w:rFonts w:ascii="Arial" w:hAnsi="Arial" w:cs="Arial"/>
                <w:sz w:val="18"/>
                <w:szCs w:val="18"/>
              </w:rPr>
              <w:t>czasie ćwiczenia uczestnicy będą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mogli zastosować zdo</w:t>
            </w:r>
            <w:r>
              <w:rPr>
                <w:rFonts w:ascii="Arial" w:hAnsi="Arial" w:cs="Arial"/>
                <w:sz w:val="18"/>
                <w:szCs w:val="18"/>
              </w:rPr>
              <w:t>bytą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uprzednio wiedzę dotyczącą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 konfirmacyjnej analizy czynnikowej dla wielu grup w testowaniu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 niezmienności modelu pomiaroweg</w:t>
            </w:r>
            <w:r w:rsidRPr="00082848">
              <w:rPr>
                <w:rFonts w:ascii="Arial" w:hAnsi="Arial" w:cs="Arial"/>
                <w:sz w:val="18"/>
                <w:szCs w:val="18"/>
              </w:rPr>
              <w:t xml:space="preserve">o w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82848">
              <w:rPr>
                <w:rFonts w:ascii="Arial" w:hAnsi="Arial" w:cs="Arial"/>
                <w:sz w:val="18"/>
                <w:szCs w:val="18"/>
              </w:rPr>
              <w:t>adaniach edukacyjnych na dużych zbiorach danych zastanych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 uwzględnieniem zmiennych porządkowych</w:t>
            </w:r>
          </w:p>
          <w:p w:rsidR="00082848" w:rsidRPr="00082848" w:rsidRDefault="00082848" w:rsidP="000828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>Forma pracy: praca grupowa</w:t>
            </w:r>
          </w:p>
          <w:p w:rsidR="00AA4601" w:rsidRPr="00082848" w:rsidRDefault="00082848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b/>
                <w:sz w:val="18"/>
                <w:szCs w:val="18"/>
              </w:rPr>
              <w:t>Ćwiczenie</w:t>
            </w:r>
            <w:r w:rsidR="00AA4601" w:rsidRPr="00082848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="00AA4601" w:rsidRPr="00082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2848" w:rsidRPr="00DF7E1B" w:rsidRDefault="00082848" w:rsidP="000828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E1B">
              <w:rPr>
                <w:rFonts w:ascii="Arial" w:hAnsi="Arial" w:cs="Arial"/>
                <w:sz w:val="18"/>
                <w:szCs w:val="18"/>
              </w:rPr>
              <w:lastRenderedPageBreak/>
              <w:t xml:space="preserve">Cel: interpretacja wyników analizy niezmienności modelu pomiarowego i ustna prezentacja wyników </w:t>
            </w:r>
          </w:p>
          <w:p w:rsidR="00082848" w:rsidRPr="00082848" w:rsidRDefault="00082848" w:rsidP="000828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 xml:space="preserve">Efekt: Uczestnicy </w:t>
            </w:r>
            <w:proofErr w:type="spellStart"/>
            <w:r w:rsidRPr="00082848">
              <w:rPr>
                <w:rFonts w:ascii="Arial" w:hAnsi="Arial" w:cs="Arial"/>
                <w:sz w:val="18"/>
                <w:szCs w:val="18"/>
              </w:rPr>
              <w:t>zastosoują</w:t>
            </w:r>
            <w:proofErr w:type="spellEnd"/>
            <w:r w:rsidRPr="00082848">
              <w:rPr>
                <w:rFonts w:ascii="Arial" w:hAnsi="Arial" w:cs="Arial"/>
                <w:sz w:val="18"/>
                <w:szCs w:val="18"/>
              </w:rPr>
              <w:t xml:space="preserve"> zdobyta wiedzę I umiejętności do interpretacji wykonanych analiz statystycznych oraz dowiedzą się jak zaprezentować rezultaty analiz w raporcie badawczym</w:t>
            </w:r>
          </w:p>
          <w:p w:rsidR="00AA4601" w:rsidRPr="00082848" w:rsidRDefault="00082848" w:rsidP="000828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2848">
              <w:rPr>
                <w:rFonts w:ascii="Arial" w:hAnsi="Arial" w:cs="Arial"/>
                <w:sz w:val="18"/>
                <w:szCs w:val="18"/>
              </w:rPr>
              <w:t>Forma pracy: praca grupowa/ praca indywidualna</w:t>
            </w:r>
          </w:p>
        </w:tc>
      </w:tr>
      <w:tr w:rsidR="00AA4601" w:rsidRPr="009A49AD" w:rsidTr="00714F7E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601" w:rsidRPr="00082848" w:rsidRDefault="00AA460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1" w:rsidRPr="009A49AD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457" w:rsidRPr="00082848" w:rsidRDefault="00567457" w:rsidP="00D72CD1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567457" w:rsidRPr="000828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8" w:right="1417" w:bottom="1417" w:left="1417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4" w:rsidRDefault="00367A74">
      <w:pPr>
        <w:spacing w:after="0" w:line="240" w:lineRule="auto"/>
      </w:pPr>
      <w:r>
        <w:separator/>
      </w:r>
    </w:p>
  </w:endnote>
  <w:endnote w:type="continuationSeparator" w:id="0">
    <w:p w:rsidR="00367A74" w:rsidRDefault="0036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ind w:right="-567"/>
      <w:jc w:val="right"/>
      <w:rPr>
        <w:rFonts w:ascii="Arial" w:hAnsi="Arial" w:cs="Arial"/>
        <w:sz w:val="4"/>
        <w:szCs w:val="4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165735</wp:posOffset>
              </wp:positionV>
              <wp:extent cx="3253105" cy="422275"/>
              <wp:effectExtent l="3175" t="381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A59" w:rsidRDefault="00920A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25pt;margin-top:13.05pt;width:256.15pt;height:33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aMegIAAP8E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" stroked="f">
              <v:textbox inset="0,0,0,0">
                <w:txbxContent>
                  <w:p w:rsidR="00920A59" w:rsidRDefault="00920A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4" w:rsidRDefault="00367A74">
      <w:pPr>
        <w:spacing w:after="0" w:line="240" w:lineRule="auto"/>
      </w:pPr>
      <w:r>
        <w:separator/>
      </w:r>
    </w:p>
  </w:footnote>
  <w:footnote w:type="continuationSeparator" w:id="0">
    <w:p w:rsidR="00367A74" w:rsidRDefault="0036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pStyle w:val="Nagwek1"/>
    </w:pPr>
    <w:r>
      <w:rPr>
        <w:noProof/>
        <w:lang w:val="en-US" w:eastAsia="en-US"/>
      </w:rPr>
      <w:drawing>
        <wp:inline distT="0" distB="0" distL="0" distR="0">
          <wp:extent cx="561022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65B25"/>
    <w:multiLevelType w:val="hybridMultilevel"/>
    <w:tmpl w:val="A88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3C2"/>
    <w:multiLevelType w:val="hybridMultilevel"/>
    <w:tmpl w:val="39D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45ED"/>
    <w:multiLevelType w:val="hybridMultilevel"/>
    <w:tmpl w:val="B1F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394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9B0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737EA"/>
    <w:multiLevelType w:val="hybridMultilevel"/>
    <w:tmpl w:val="70E4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389"/>
    <w:multiLevelType w:val="multilevel"/>
    <w:tmpl w:val="D26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80934"/>
    <w:multiLevelType w:val="hybridMultilevel"/>
    <w:tmpl w:val="5CA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54C3"/>
    <w:multiLevelType w:val="hybridMultilevel"/>
    <w:tmpl w:val="B058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EF8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5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7F6342"/>
    <w:multiLevelType w:val="singleLevel"/>
    <w:tmpl w:val="6D70F6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B25061"/>
    <w:multiLevelType w:val="hybridMultilevel"/>
    <w:tmpl w:val="A5A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740FE"/>
    <w:multiLevelType w:val="singleLevel"/>
    <w:tmpl w:val="1F00C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3DAF"/>
    <w:multiLevelType w:val="hybridMultilevel"/>
    <w:tmpl w:val="3BFCC2E0"/>
    <w:lvl w:ilvl="0" w:tplc="A04AA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03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C2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62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60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CF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D20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6B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A7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F"/>
    <w:rsid w:val="000045C9"/>
    <w:rsid w:val="00035C2F"/>
    <w:rsid w:val="000613E6"/>
    <w:rsid w:val="00065BA4"/>
    <w:rsid w:val="00073517"/>
    <w:rsid w:val="00082848"/>
    <w:rsid w:val="0008537D"/>
    <w:rsid w:val="0009045D"/>
    <w:rsid w:val="00097FBF"/>
    <w:rsid w:val="000B75F3"/>
    <w:rsid w:val="00104D3D"/>
    <w:rsid w:val="00141288"/>
    <w:rsid w:val="001417D5"/>
    <w:rsid w:val="001A5BBD"/>
    <w:rsid w:val="001A6FF9"/>
    <w:rsid w:val="001D47FE"/>
    <w:rsid w:val="001E2C52"/>
    <w:rsid w:val="001E4B74"/>
    <w:rsid w:val="00221B25"/>
    <w:rsid w:val="002341CB"/>
    <w:rsid w:val="002635E7"/>
    <w:rsid w:val="0029643C"/>
    <w:rsid w:val="002F00C6"/>
    <w:rsid w:val="002F175F"/>
    <w:rsid w:val="00367A74"/>
    <w:rsid w:val="003754F0"/>
    <w:rsid w:val="004130B7"/>
    <w:rsid w:val="00440DEB"/>
    <w:rsid w:val="00445840"/>
    <w:rsid w:val="004C4F2F"/>
    <w:rsid w:val="00517BA2"/>
    <w:rsid w:val="00525221"/>
    <w:rsid w:val="005300F8"/>
    <w:rsid w:val="00536D43"/>
    <w:rsid w:val="00567457"/>
    <w:rsid w:val="00594A80"/>
    <w:rsid w:val="005D3708"/>
    <w:rsid w:val="00644671"/>
    <w:rsid w:val="00645948"/>
    <w:rsid w:val="006B21D3"/>
    <w:rsid w:val="006D4DE1"/>
    <w:rsid w:val="006D6721"/>
    <w:rsid w:val="006E5313"/>
    <w:rsid w:val="006E7089"/>
    <w:rsid w:val="006F0B7D"/>
    <w:rsid w:val="006F5E95"/>
    <w:rsid w:val="007431F6"/>
    <w:rsid w:val="007B04D9"/>
    <w:rsid w:val="0080590D"/>
    <w:rsid w:val="0081312D"/>
    <w:rsid w:val="00817499"/>
    <w:rsid w:val="00842996"/>
    <w:rsid w:val="00866307"/>
    <w:rsid w:val="008C517C"/>
    <w:rsid w:val="008D5BBA"/>
    <w:rsid w:val="00920A59"/>
    <w:rsid w:val="009258CF"/>
    <w:rsid w:val="009569B6"/>
    <w:rsid w:val="009649C3"/>
    <w:rsid w:val="00971E55"/>
    <w:rsid w:val="0099785C"/>
    <w:rsid w:val="009A3A51"/>
    <w:rsid w:val="009A49AD"/>
    <w:rsid w:val="009A5B8C"/>
    <w:rsid w:val="009C713C"/>
    <w:rsid w:val="009D5B61"/>
    <w:rsid w:val="00A047DA"/>
    <w:rsid w:val="00A10162"/>
    <w:rsid w:val="00A2053F"/>
    <w:rsid w:val="00A408EE"/>
    <w:rsid w:val="00A7202F"/>
    <w:rsid w:val="00A94007"/>
    <w:rsid w:val="00AA4014"/>
    <w:rsid w:val="00AA4601"/>
    <w:rsid w:val="00AD6268"/>
    <w:rsid w:val="00AF3135"/>
    <w:rsid w:val="00AF4A5F"/>
    <w:rsid w:val="00B02741"/>
    <w:rsid w:val="00B04A2A"/>
    <w:rsid w:val="00B70160"/>
    <w:rsid w:val="00B9607F"/>
    <w:rsid w:val="00BE6258"/>
    <w:rsid w:val="00C02E4E"/>
    <w:rsid w:val="00C15BD0"/>
    <w:rsid w:val="00C954B2"/>
    <w:rsid w:val="00CB0910"/>
    <w:rsid w:val="00CB5CB5"/>
    <w:rsid w:val="00CC34C0"/>
    <w:rsid w:val="00CE6EDE"/>
    <w:rsid w:val="00CF4C83"/>
    <w:rsid w:val="00D25A20"/>
    <w:rsid w:val="00D662DC"/>
    <w:rsid w:val="00D72CD1"/>
    <w:rsid w:val="00D9410B"/>
    <w:rsid w:val="00DC3283"/>
    <w:rsid w:val="00DF7E1B"/>
    <w:rsid w:val="00E031B6"/>
    <w:rsid w:val="00E214E7"/>
    <w:rsid w:val="00E41EB1"/>
    <w:rsid w:val="00EA1997"/>
    <w:rsid w:val="00EB3574"/>
    <w:rsid w:val="00EB495E"/>
    <w:rsid w:val="00F02999"/>
    <w:rsid w:val="00F26546"/>
    <w:rsid w:val="00F40FE7"/>
    <w:rsid w:val="00F72A08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  <w:style w:type="character" w:styleId="Odwoaniedokomentarza">
    <w:name w:val="annotation reference"/>
    <w:basedOn w:val="Domylnaczcionkaakapitu"/>
    <w:uiPriority w:val="99"/>
    <w:semiHidden/>
    <w:unhideWhenUsed/>
    <w:rsid w:val="008C51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17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17C"/>
    <w:rPr>
      <w:rFonts w:ascii="Calibri" w:hAnsi="Calibri"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  <w:style w:type="character" w:styleId="Odwoaniedokomentarza">
    <w:name w:val="annotation reference"/>
    <w:basedOn w:val="Domylnaczcionkaakapitu"/>
    <w:uiPriority w:val="99"/>
    <w:semiHidden/>
    <w:unhideWhenUsed/>
    <w:rsid w:val="008C51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17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17C"/>
    <w:rPr>
      <w:rFonts w:ascii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description form</vt:lpstr>
      <vt:lpstr>Course description form</vt:lpstr>
    </vt:vector>
  </TitlesOfParts>
  <Company>HP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form</dc:title>
  <dc:creator>poldyd</dc:creator>
  <cp:lastModifiedBy>swps</cp:lastModifiedBy>
  <cp:revision>10</cp:revision>
  <cp:lastPrinted>2013-10-17T09:09:00Z</cp:lastPrinted>
  <dcterms:created xsi:type="dcterms:W3CDTF">2014-01-13T18:54:00Z</dcterms:created>
  <dcterms:modified xsi:type="dcterms:W3CDTF">2014-01-15T18:37:00Z</dcterms:modified>
</cp:coreProperties>
</file>